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0E72" w:rsidRPr="00022EA6" w:rsidRDefault="00E16138" w:rsidP="00E60E72">
      <w:pPr>
        <w:tabs>
          <w:tab w:val="left" w:pos="180"/>
          <w:tab w:val="left" w:pos="5940"/>
        </w:tabs>
        <w:spacing w:after="0" w:line="240" w:lineRule="auto"/>
        <w:rPr>
          <w:rFonts w:ascii="Garamond" w:hAnsi="Garamond"/>
        </w:rPr>
      </w:pPr>
      <w:r w:rsidRPr="00022EA6">
        <w:rPr>
          <w:rFonts w:ascii="Garamond" w:hAnsi="Garamond"/>
        </w:rPr>
        <w:t>EN102 Literature (Spring 20</w:t>
      </w:r>
      <w:r w:rsidR="00715348" w:rsidRPr="00022EA6">
        <w:rPr>
          <w:rFonts w:ascii="Garamond" w:hAnsi="Garamond"/>
        </w:rPr>
        <w:t>20</w:t>
      </w:r>
      <w:r w:rsidRPr="00022EA6">
        <w:rPr>
          <w:rFonts w:ascii="Garamond" w:hAnsi="Garamond"/>
        </w:rPr>
        <w:t>)</w:t>
      </w:r>
      <w:r w:rsidRPr="00022EA6">
        <w:rPr>
          <w:rFonts w:ascii="Garamond" w:hAnsi="Garamond"/>
        </w:rPr>
        <w:tab/>
      </w:r>
      <w:r w:rsidR="00715348" w:rsidRPr="00022EA6">
        <w:rPr>
          <w:rFonts w:ascii="Garamond" w:hAnsi="Garamond"/>
        </w:rPr>
        <w:t xml:space="preserve">         LTC</w:t>
      </w:r>
      <w:r w:rsidRPr="00022EA6">
        <w:rPr>
          <w:rFonts w:ascii="Garamond" w:hAnsi="Garamond"/>
        </w:rPr>
        <w:t xml:space="preserve"> Markley </w:t>
      </w:r>
      <w:r w:rsidR="00715348" w:rsidRPr="00022EA6">
        <w:rPr>
          <w:rFonts w:ascii="Garamond" w:hAnsi="Garamond"/>
        </w:rPr>
        <w:t>14</w:t>
      </w:r>
      <w:r w:rsidRPr="00022EA6">
        <w:rPr>
          <w:rFonts w:ascii="Garamond" w:hAnsi="Garamond"/>
        </w:rPr>
        <w:t xml:space="preserve"> </w:t>
      </w:r>
      <w:r w:rsidR="00715348" w:rsidRPr="00022EA6">
        <w:rPr>
          <w:rFonts w:ascii="Garamond" w:hAnsi="Garamond"/>
        </w:rPr>
        <w:t>G1/H1/G2/H2</w:t>
      </w:r>
      <w:r w:rsidR="00E60E72" w:rsidRPr="00022EA6">
        <w:rPr>
          <w:rFonts w:ascii="Garamond" w:hAnsi="Garamond"/>
        </w:rPr>
        <w:tab/>
      </w:r>
    </w:p>
    <w:p w:rsidR="00E60E72" w:rsidRPr="00022EA6" w:rsidRDefault="00E60E72" w:rsidP="00E60E72">
      <w:pPr>
        <w:pBdr>
          <w:bottom w:val="single" w:sz="12" w:space="1" w:color="auto"/>
        </w:pBdr>
        <w:tabs>
          <w:tab w:val="left" w:pos="180"/>
          <w:tab w:val="left" w:pos="1080"/>
          <w:tab w:val="left" w:pos="6480"/>
        </w:tabs>
        <w:spacing w:after="0" w:line="240" w:lineRule="auto"/>
        <w:rPr>
          <w:rFonts w:ascii="Garamond" w:hAnsi="Garamond"/>
          <w:sz w:val="8"/>
          <w:szCs w:val="8"/>
        </w:rPr>
      </w:pPr>
      <w:r w:rsidRPr="00022EA6">
        <w:rPr>
          <w:rFonts w:ascii="Garamond" w:hAnsi="Garamond"/>
          <w:sz w:val="8"/>
          <w:szCs w:val="8"/>
        </w:rPr>
        <w:tab/>
      </w:r>
    </w:p>
    <w:p w:rsidR="00A068CE" w:rsidRPr="00022EA6" w:rsidRDefault="00A068CE" w:rsidP="00E01A90">
      <w:pPr>
        <w:spacing w:after="0" w:line="240" w:lineRule="auto"/>
        <w:rPr>
          <w:rFonts w:ascii="Garamond" w:hAnsi="Garamond"/>
          <w:b/>
        </w:rPr>
      </w:pPr>
    </w:p>
    <w:p w:rsidR="00E60E72" w:rsidRPr="00022EA6" w:rsidRDefault="00FD3C6D" w:rsidP="00FD3C6D">
      <w:pPr>
        <w:spacing w:after="240" w:line="240" w:lineRule="auto"/>
        <w:contextualSpacing/>
        <w:rPr>
          <w:rFonts w:ascii="Garamond" w:hAnsi="Garamond"/>
        </w:rPr>
      </w:pPr>
      <w:r w:rsidRPr="00022EA6">
        <w:rPr>
          <w:rFonts w:ascii="Garamond" w:hAnsi="Garamond"/>
          <w:b/>
        </w:rPr>
        <w:t>Homework Essay 1</w:t>
      </w:r>
      <w:r w:rsidR="00E01A90" w:rsidRPr="00022EA6">
        <w:rPr>
          <w:rFonts w:ascii="Garamond" w:hAnsi="Garamond"/>
          <w:b/>
        </w:rPr>
        <w:t xml:space="preserve">: </w:t>
      </w:r>
      <w:r w:rsidR="00EB4E70" w:rsidRPr="00022EA6">
        <w:rPr>
          <w:rFonts w:ascii="Garamond" w:hAnsi="Garamond"/>
          <w:color w:val="000000"/>
        </w:rPr>
        <w:t xml:space="preserve">Close Reading of a poem from </w:t>
      </w:r>
      <w:r w:rsidR="00EB4E70" w:rsidRPr="00022EA6">
        <w:rPr>
          <w:rFonts w:ascii="Garamond" w:hAnsi="Garamond"/>
          <w:i/>
          <w:iCs/>
          <w:color w:val="000000"/>
        </w:rPr>
        <w:t>The Norton</w:t>
      </w:r>
      <w:r w:rsidR="00EA332E" w:rsidRPr="00022EA6">
        <w:rPr>
          <w:rFonts w:ascii="Garamond" w:hAnsi="Garamond"/>
          <w:i/>
          <w:iCs/>
          <w:color w:val="000000"/>
        </w:rPr>
        <w:t xml:space="preserve"> Anthology of Poetry</w:t>
      </w:r>
      <w:r w:rsidR="00EB4E70" w:rsidRPr="00022EA6">
        <w:rPr>
          <w:rFonts w:ascii="Garamond" w:hAnsi="Garamond"/>
          <w:i/>
          <w:iCs/>
          <w:color w:val="000000"/>
        </w:rPr>
        <w:t>.</w:t>
      </w:r>
    </w:p>
    <w:p w:rsidR="00EB4E70" w:rsidRPr="00022EA6" w:rsidRDefault="00E01A90" w:rsidP="00FD3C6D">
      <w:pPr>
        <w:pStyle w:val="NormalWeb"/>
        <w:spacing w:before="0" w:beforeAutospacing="0" w:after="240"/>
        <w:rPr>
          <w:rFonts w:ascii="Garamond" w:hAnsi="Garamond"/>
          <w:sz w:val="22"/>
          <w:szCs w:val="22"/>
        </w:rPr>
      </w:pPr>
      <w:bookmarkStart w:id="0" w:name="OLE_LINK5"/>
      <w:bookmarkStart w:id="1" w:name="OLE_LINK6"/>
      <w:r w:rsidRPr="00022EA6">
        <w:rPr>
          <w:rFonts w:ascii="Garamond" w:hAnsi="Garamond"/>
          <w:b/>
          <w:sz w:val="22"/>
          <w:szCs w:val="22"/>
        </w:rPr>
        <w:t>Description</w:t>
      </w:r>
      <w:r w:rsidRPr="00022EA6">
        <w:rPr>
          <w:rFonts w:ascii="Garamond" w:hAnsi="Garamond"/>
          <w:sz w:val="22"/>
          <w:szCs w:val="22"/>
        </w:rPr>
        <w:t>:</w:t>
      </w:r>
      <w:bookmarkEnd w:id="0"/>
      <w:bookmarkEnd w:id="1"/>
      <w:r w:rsidRPr="00022EA6">
        <w:rPr>
          <w:rFonts w:ascii="Garamond" w:hAnsi="Garamond"/>
          <w:sz w:val="22"/>
          <w:szCs w:val="22"/>
        </w:rPr>
        <w:t xml:space="preserve"> </w:t>
      </w:r>
      <w:r w:rsidR="00EB4E70" w:rsidRPr="00022EA6">
        <w:rPr>
          <w:rFonts w:ascii="Garamond" w:hAnsi="Garamond"/>
          <w:color w:val="000000"/>
          <w:sz w:val="22"/>
          <w:szCs w:val="22"/>
        </w:rPr>
        <w:t>This assignment challenges you to perform a close reading of one of the poems covered during the poetry block of instruction</w:t>
      </w:r>
      <w:r w:rsidR="00EB4E70" w:rsidRPr="00022EA6">
        <w:rPr>
          <w:rFonts w:ascii="Garamond" w:hAnsi="Garamond"/>
          <w:i/>
          <w:iCs/>
          <w:color w:val="000000"/>
          <w:sz w:val="22"/>
          <w:szCs w:val="22"/>
        </w:rPr>
        <w:t>.</w:t>
      </w:r>
      <w:r w:rsidR="00EB4E70" w:rsidRPr="00022EA6">
        <w:rPr>
          <w:rFonts w:ascii="Garamond" w:hAnsi="Garamond"/>
          <w:color w:val="000000"/>
          <w:sz w:val="22"/>
          <w:szCs w:val="22"/>
        </w:rPr>
        <w:t xml:space="preserve"> As </w:t>
      </w:r>
      <w:r w:rsidR="00B44615" w:rsidRPr="00022EA6">
        <w:rPr>
          <w:rFonts w:ascii="Garamond" w:hAnsi="Garamond"/>
          <w:color w:val="000000"/>
          <w:sz w:val="22"/>
          <w:szCs w:val="22"/>
        </w:rPr>
        <w:t>Elisabeth Howe</w:t>
      </w:r>
      <w:r w:rsidR="00EB4E70" w:rsidRPr="00022EA6">
        <w:rPr>
          <w:rFonts w:ascii="Garamond" w:hAnsi="Garamond"/>
          <w:color w:val="000000"/>
          <w:sz w:val="22"/>
          <w:szCs w:val="22"/>
        </w:rPr>
        <w:t xml:space="preserve"> note</w:t>
      </w:r>
      <w:r w:rsidR="00B44615" w:rsidRPr="00022EA6">
        <w:rPr>
          <w:rFonts w:ascii="Garamond" w:hAnsi="Garamond"/>
          <w:color w:val="000000"/>
          <w:sz w:val="22"/>
          <w:szCs w:val="22"/>
        </w:rPr>
        <w:t>s</w:t>
      </w:r>
      <w:r w:rsidR="00EB4E70" w:rsidRPr="00022EA6">
        <w:rPr>
          <w:rFonts w:ascii="Garamond" w:hAnsi="Garamond"/>
          <w:color w:val="000000"/>
          <w:sz w:val="22"/>
          <w:szCs w:val="22"/>
        </w:rPr>
        <w:t xml:space="preserve"> in </w:t>
      </w:r>
      <w:r w:rsidR="00B44615" w:rsidRPr="00022EA6">
        <w:rPr>
          <w:rFonts w:ascii="Garamond" w:hAnsi="Garamond"/>
          <w:i/>
          <w:iCs/>
          <w:color w:val="000000"/>
          <w:sz w:val="22"/>
          <w:szCs w:val="22"/>
        </w:rPr>
        <w:t>Close Reading: An Introduction to Literature</w:t>
      </w:r>
      <w:r w:rsidR="00B44615" w:rsidRPr="00022EA6">
        <w:rPr>
          <w:rFonts w:ascii="Garamond" w:hAnsi="Garamond"/>
          <w:color w:val="000000"/>
          <w:sz w:val="22"/>
          <w:szCs w:val="22"/>
        </w:rPr>
        <w:t>, “[m</w:t>
      </w:r>
      <w:r w:rsidR="00EB4E70" w:rsidRPr="00022EA6">
        <w:rPr>
          <w:rFonts w:ascii="Garamond" w:hAnsi="Garamond"/>
          <w:color w:val="000000"/>
          <w:sz w:val="22"/>
          <w:szCs w:val="22"/>
        </w:rPr>
        <w:t>]</w:t>
      </w:r>
      <w:r w:rsidR="00B44615" w:rsidRPr="00022EA6">
        <w:rPr>
          <w:rFonts w:ascii="Garamond" w:hAnsi="Garamond"/>
          <w:color w:val="000000"/>
          <w:sz w:val="22"/>
          <w:szCs w:val="22"/>
        </w:rPr>
        <w:t xml:space="preserve">any texts lend themselves to different interpretations by different readers: this is a sign of richness. But not all interpretations are necessarily valid: a close reading must be based on the text itself, and you must be able to cite words, phrases, or other elements from the text—e.g., rhythm, sound, structure—in order to back up your interpretation” (2). </w:t>
      </w:r>
      <w:r w:rsidR="00EB4E70" w:rsidRPr="00022EA6">
        <w:rPr>
          <w:rFonts w:ascii="Garamond" w:hAnsi="Garamond"/>
          <w:color w:val="000000"/>
          <w:sz w:val="22"/>
          <w:szCs w:val="22"/>
        </w:rPr>
        <w:t xml:space="preserve">It is your task to look closely at those words and lines while considering </w:t>
      </w:r>
      <w:r w:rsidR="00EB4E70" w:rsidRPr="00022EA6">
        <w:rPr>
          <w:rFonts w:ascii="Garamond" w:hAnsi="Garamond"/>
          <w:b/>
          <w:color w:val="000000"/>
          <w:sz w:val="22"/>
          <w:szCs w:val="22"/>
        </w:rPr>
        <w:t>at least</w:t>
      </w:r>
      <w:r w:rsidR="00EB4E70" w:rsidRPr="00022EA6">
        <w:rPr>
          <w:rFonts w:ascii="Garamond" w:hAnsi="Garamond"/>
          <w:color w:val="000000"/>
          <w:sz w:val="22"/>
          <w:szCs w:val="22"/>
        </w:rPr>
        <w:t xml:space="preserve"> two of the formal elements of poetry deployed by the writer. For example, contemplate rhythm, meter, or rhyme scheme in conjunction with metaphor, irony, or alliteration to help better understand </w:t>
      </w:r>
      <w:r w:rsidR="00E16138" w:rsidRPr="00022EA6">
        <w:rPr>
          <w:rFonts w:ascii="Garamond" w:hAnsi="Garamond"/>
          <w:color w:val="000000"/>
          <w:sz w:val="22"/>
          <w:szCs w:val="22"/>
        </w:rPr>
        <w:t xml:space="preserve">what the poem communicates. Refer to the supplemental material on the </w:t>
      </w:r>
      <w:r w:rsidR="00555347" w:rsidRPr="00022EA6">
        <w:rPr>
          <w:rFonts w:ascii="Garamond" w:hAnsi="Garamond"/>
          <w:color w:val="000000"/>
          <w:sz w:val="22"/>
          <w:szCs w:val="22"/>
        </w:rPr>
        <w:t xml:space="preserve">EN102 </w:t>
      </w:r>
      <w:r w:rsidR="00E16138" w:rsidRPr="00022EA6">
        <w:rPr>
          <w:rFonts w:ascii="Garamond" w:hAnsi="Garamond"/>
          <w:color w:val="000000"/>
          <w:sz w:val="22"/>
          <w:szCs w:val="22"/>
        </w:rPr>
        <w:t xml:space="preserve">website </w:t>
      </w:r>
      <w:r w:rsidR="00EB4E70" w:rsidRPr="00022EA6">
        <w:rPr>
          <w:rFonts w:ascii="Garamond" w:hAnsi="Garamond"/>
          <w:color w:val="000000"/>
          <w:sz w:val="22"/>
          <w:szCs w:val="22"/>
        </w:rPr>
        <w:t xml:space="preserve">for a </w:t>
      </w:r>
      <w:r w:rsidR="00E16138" w:rsidRPr="00022EA6">
        <w:rPr>
          <w:rFonts w:ascii="Garamond" w:hAnsi="Garamond"/>
          <w:color w:val="000000"/>
          <w:sz w:val="22"/>
          <w:szCs w:val="22"/>
        </w:rPr>
        <w:t>concise d</w:t>
      </w:r>
      <w:r w:rsidR="00B44615" w:rsidRPr="00022EA6">
        <w:rPr>
          <w:rFonts w:ascii="Garamond" w:hAnsi="Garamond"/>
          <w:color w:val="000000"/>
          <w:sz w:val="22"/>
          <w:szCs w:val="22"/>
        </w:rPr>
        <w:t>iscussion of poetic terms along with a few sample r</w:t>
      </w:r>
      <w:r w:rsidR="00EB4E70" w:rsidRPr="00022EA6">
        <w:rPr>
          <w:rFonts w:ascii="Garamond" w:hAnsi="Garamond"/>
          <w:color w:val="000000"/>
          <w:sz w:val="22"/>
          <w:szCs w:val="22"/>
        </w:rPr>
        <w:t>esponses to poetry</w:t>
      </w:r>
      <w:r w:rsidR="00C0405B" w:rsidRPr="00022EA6">
        <w:rPr>
          <w:rFonts w:ascii="Garamond" w:hAnsi="Garamond"/>
          <w:color w:val="000000"/>
          <w:sz w:val="22"/>
          <w:szCs w:val="22"/>
        </w:rPr>
        <w:t xml:space="preserve"> </w:t>
      </w:r>
      <w:r w:rsidR="00EB4E70" w:rsidRPr="00022EA6">
        <w:rPr>
          <w:rFonts w:ascii="Garamond" w:hAnsi="Garamond"/>
          <w:color w:val="000000"/>
          <w:sz w:val="22"/>
          <w:szCs w:val="22"/>
        </w:rPr>
        <w:t xml:space="preserve">and close readings. </w:t>
      </w:r>
    </w:p>
    <w:p w:rsidR="007F6BB1" w:rsidRDefault="00E60E72" w:rsidP="00555347">
      <w:pPr>
        <w:spacing w:after="240" w:line="240" w:lineRule="auto"/>
        <w:rPr>
          <w:rFonts w:ascii="Garamond" w:hAnsi="Garamond"/>
        </w:rPr>
      </w:pPr>
      <w:r w:rsidRPr="00022EA6">
        <w:rPr>
          <w:rFonts w:ascii="Garamond" w:hAnsi="Garamond"/>
          <w:b/>
        </w:rPr>
        <w:t>Assignment</w:t>
      </w:r>
      <w:r w:rsidRPr="00022EA6">
        <w:rPr>
          <w:rFonts w:ascii="Garamond" w:hAnsi="Garamond"/>
        </w:rPr>
        <w:t xml:space="preserve">: </w:t>
      </w:r>
      <w:r w:rsidR="007F6BB1">
        <w:rPr>
          <w:rFonts w:ascii="Garamond" w:hAnsi="Garamond"/>
        </w:rPr>
        <w:t xml:space="preserve">Perform a close reading of </w:t>
      </w:r>
      <w:r w:rsidR="00C32EA2">
        <w:rPr>
          <w:rFonts w:ascii="Garamond" w:hAnsi="Garamond"/>
        </w:rPr>
        <w:t>one</w:t>
      </w:r>
      <w:r w:rsidR="007F6BB1">
        <w:rPr>
          <w:rFonts w:ascii="Garamond" w:hAnsi="Garamond"/>
        </w:rPr>
        <w:t xml:space="preserve"> the poems listed below to complete parts 1 and 2.</w:t>
      </w:r>
    </w:p>
    <w:p w:rsidR="007F6BB1" w:rsidRDefault="00307AE1" w:rsidP="00555347">
      <w:pPr>
        <w:spacing w:after="240" w:line="240" w:lineRule="auto"/>
        <w:rPr>
          <w:rFonts w:ascii="Garamond" w:hAnsi="Garamond"/>
        </w:rPr>
      </w:pPr>
      <w:r w:rsidRPr="00022EA6">
        <w:rPr>
          <w:rFonts w:ascii="Garamond" w:hAnsi="Garamond"/>
          <w:i/>
        </w:rPr>
        <w:t xml:space="preserve">Part </w:t>
      </w:r>
      <w:r w:rsidR="00715348" w:rsidRPr="00022EA6">
        <w:rPr>
          <w:rFonts w:ascii="Garamond" w:hAnsi="Garamond"/>
          <w:i/>
        </w:rPr>
        <w:t xml:space="preserve">1 </w:t>
      </w:r>
      <w:r w:rsidRPr="00022EA6">
        <w:rPr>
          <w:rFonts w:ascii="Garamond" w:hAnsi="Garamond"/>
          <w:i/>
        </w:rPr>
        <w:t>–</w:t>
      </w:r>
      <w:r w:rsidRPr="00022EA6">
        <w:rPr>
          <w:rFonts w:ascii="Garamond" w:hAnsi="Garamond"/>
        </w:rPr>
        <w:t xml:space="preserve"> Annotate the poem. Print or photocopy the poem and mark (in colors other than black) </w:t>
      </w:r>
      <w:r w:rsidR="00715348" w:rsidRPr="00022EA6">
        <w:rPr>
          <w:rFonts w:ascii="Garamond" w:hAnsi="Garamond"/>
        </w:rPr>
        <w:t xml:space="preserve">any notable poetic elements, to include (but not limited by) such elements as rhythm, meter, rhyme scheme, alliteration, allusions to historic events or other works, metaphors/similes, imagery, satire, irony, etc. Also provide a concise but complete summary of the poem. Your summary should amount to roughly a page and should detail the poem line-by-line or stanza-by-stanza, depending on the breadth and depth of your poem. </w:t>
      </w:r>
    </w:p>
    <w:p w:rsidR="00E60E72" w:rsidRPr="00022EA6" w:rsidRDefault="00715348" w:rsidP="00555347">
      <w:pPr>
        <w:spacing w:after="240" w:line="240" w:lineRule="auto"/>
        <w:rPr>
          <w:rFonts w:ascii="Garamond" w:hAnsi="Garamond"/>
        </w:rPr>
      </w:pPr>
      <w:r w:rsidRPr="00022EA6">
        <w:rPr>
          <w:rFonts w:ascii="Garamond" w:hAnsi="Garamond"/>
          <w:i/>
        </w:rPr>
        <w:t>Part 2 –</w:t>
      </w:r>
      <w:r w:rsidRPr="00022EA6">
        <w:rPr>
          <w:rFonts w:ascii="Garamond" w:hAnsi="Garamond"/>
        </w:rPr>
        <w:t xml:space="preserve"> </w:t>
      </w:r>
      <w:r w:rsidR="004666C5" w:rsidRPr="00022EA6">
        <w:rPr>
          <w:rFonts w:ascii="Garamond" w:hAnsi="Garamond"/>
        </w:rPr>
        <w:t>In three full pages,</w:t>
      </w:r>
      <w:r w:rsidR="00EB4E70" w:rsidRPr="00022EA6">
        <w:rPr>
          <w:rFonts w:ascii="Garamond" w:hAnsi="Garamond"/>
        </w:rPr>
        <w:t xml:space="preserve"> write a thesis-driven analytical essay to explicate one of the poems listed below.  You should correctly use the terms we have learned regarding poetic elements and form, but these terms do not necessarily have to drive the central point of your essay. </w:t>
      </w:r>
      <w:bookmarkStart w:id="2" w:name="_GoBack"/>
      <w:bookmarkEnd w:id="2"/>
      <w:r w:rsidR="00EB4E70" w:rsidRPr="00022EA6">
        <w:rPr>
          <w:rFonts w:ascii="Garamond" w:hAnsi="Garamond"/>
        </w:rPr>
        <w:t xml:space="preserve"> For example, if </w:t>
      </w:r>
      <w:r w:rsidR="00C43ADA" w:rsidRPr="00022EA6">
        <w:rPr>
          <w:rFonts w:ascii="Garamond" w:hAnsi="Garamond"/>
        </w:rPr>
        <w:t xml:space="preserve">upon a deep reading </w:t>
      </w:r>
      <w:r w:rsidR="00EB4E70" w:rsidRPr="00022EA6">
        <w:rPr>
          <w:rFonts w:ascii="Garamond" w:hAnsi="Garamond"/>
        </w:rPr>
        <w:t>you</w:t>
      </w:r>
      <w:r w:rsidR="00C43ADA" w:rsidRPr="00022EA6">
        <w:rPr>
          <w:rFonts w:ascii="Garamond" w:hAnsi="Garamond"/>
        </w:rPr>
        <w:t xml:space="preserve"> somehow</w:t>
      </w:r>
      <w:r w:rsidR="00EB4E70" w:rsidRPr="00022EA6">
        <w:rPr>
          <w:rFonts w:ascii="Garamond" w:hAnsi="Garamond"/>
        </w:rPr>
        <w:t xml:space="preserve"> decide that Whitman’s </w:t>
      </w:r>
      <w:r w:rsidR="00EB4E70" w:rsidRPr="00022EA6">
        <w:rPr>
          <w:rFonts w:ascii="Garamond" w:hAnsi="Garamond"/>
          <w:i/>
        </w:rPr>
        <w:t>Noiseless, Patient Spider</w:t>
      </w:r>
      <w:r w:rsidR="00EB4E70" w:rsidRPr="00022EA6">
        <w:rPr>
          <w:rFonts w:ascii="Garamond" w:hAnsi="Garamond"/>
        </w:rPr>
        <w:t xml:space="preserve"> is actually an ode to E.B. White</w:t>
      </w:r>
      <w:r w:rsidR="00646A93">
        <w:rPr>
          <w:rFonts w:ascii="Garamond" w:hAnsi="Garamond"/>
        </w:rPr>
        <w:t>*</w:t>
      </w:r>
      <w:r w:rsidR="00EB4E70" w:rsidRPr="00022EA6">
        <w:rPr>
          <w:rFonts w:ascii="Garamond" w:hAnsi="Garamond"/>
        </w:rPr>
        <w:t>, you would provide textual support from within the poem using</w:t>
      </w:r>
      <w:r w:rsidR="00C43ADA" w:rsidRPr="00022EA6">
        <w:rPr>
          <w:rFonts w:ascii="Garamond" w:hAnsi="Garamond"/>
        </w:rPr>
        <w:t xml:space="preserve"> the poetic terms, concepts, and devices we have learned, along with any of your own keen critical thinking or detective work to convince your readers of your perspective.</w:t>
      </w:r>
    </w:p>
    <w:p w:rsidR="00C0405B" w:rsidRPr="00022EA6" w:rsidRDefault="00C0405B" w:rsidP="00E01A90">
      <w:pPr>
        <w:spacing w:after="0" w:line="240" w:lineRule="auto"/>
        <w:rPr>
          <w:rFonts w:ascii="Garamond" w:hAnsi="Garamond"/>
        </w:rPr>
        <w:sectPr w:rsidR="00C0405B" w:rsidRPr="00022EA6" w:rsidSect="00F062A5">
          <w:pgSz w:w="12240" w:h="15840"/>
          <w:pgMar w:top="1440" w:right="1440" w:bottom="1440" w:left="1440" w:header="720" w:footer="720" w:gutter="0"/>
          <w:cols w:space="720"/>
          <w:docGrid w:linePitch="360"/>
        </w:sectPr>
      </w:pPr>
    </w:p>
    <w:p w:rsidR="001F7894" w:rsidRPr="00022EA6" w:rsidRDefault="001F7894" w:rsidP="001F7894">
      <w:pPr>
        <w:spacing w:after="0" w:line="240" w:lineRule="auto"/>
        <w:ind w:left="360" w:firstLine="360"/>
        <w:rPr>
          <w:rFonts w:ascii="Garamond" w:hAnsi="Garamond"/>
        </w:rPr>
      </w:pPr>
      <w:r w:rsidRPr="00022EA6">
        <w:rPr>
          <w:rFonts w:ascii="Garamond" w:hAnsi="Garamond"/>
        </w:rPr>
        <w:t>Blake, “Holy Thursday”</w:t>
      </w:r>
      <w:r w:rsidR="00927E19" w:rsidRPr="00022EA6">
        <w:rPr>
          <w:rFonts w:ascii="Garamond" w:hAnsi="Garamond"/>
        </w:rPr>
        <w:t xml:space="preserve"> (I &amp; II)</w:t>
      </w:r>
    </w:p>
    <w:p w:rsidR="001F7894" w:rsidRPr="00022EA6" w:rsidRDefault="001F7894" w:rsidP="001F7894">
      <w:pPr>
        <w:spacing w:after="0" w:line="240" w:lineRule="auto"/>
        <w:ind w:firstLine="720"/>
        <w:rPr>
          <w:rFonts w:ascii="Garamond" w:hAnsi="Garamond"/>
        </w:rPr>
      </w:pPr>
      <w:r w:rsidRPr="00022EA6">
        <w:rPr>
          <w:rFonts w:ascii="Garamond" w:hAnsi="Garamond"/>
        </w:rPr>
        <w:t xml:space="preserve">Collins, </w:t>
      </w:r>
      <w:r w:rsidR="00BA6D7D" w:rsidRPr="00022EA6">
        <w:rPr>
          <w:rFonts w:ascii="Garamond" w:hAnsi="Garamond"/>
        </w:rPr>
        <w:t>B., “Litany</w:t>
      </w:r>
      <w:r w:rsidRPr="00022EA6">
        <w:rPr>
          <w:rFonts w:ascii="Garamond" w:hAnsi="Garamond"/>
        </w:rPr>
        <w:t>”</w:t>
      </w:r>
    </w:p>
    <w:p w:rsidR="008B5876" w:rsidRPr="00022EA6" w:rsidRDefault="001F7894" w:rsidP="001F7894">
      <w:pPr>
        <w:spacing w:after="0" w:line="240" w:lineRule="auto"/>
        <w:ind w:firstLine="720"/>
        <w:rPr>
          <w:rFonts w:ascii="Garamond" w:hAnsi="Garamond"/>
        </w:rPr>
      </w:pPr>
      <w:r w:rsidRPr="00022EA6">
        <w:rPr>
          <w:rFonts w:ascii="Garamond" w:hAnsi="Garamond"/>
        </w:rPr>
        <w:t>Cummings, “</w:t>
      </w:r>
      <w:r w:rsidR="00651833" w:rsidRPr="00022EA6">
        <w:rPr>
          <w:rFonts w:ascii="Garamond" w:hAnsi="Garamond"/>
        </w:rPr>
        <w:t xml:space="preserve">somewhere </w:t>
      </w:r>
      <w:r w:rsidR="00FD3C6D" w:rsidRPr="00022EA6">
        <w:rPr>
          <w:rFonts w:ascii="Garamond" w:hAnsi="Garamond"/>
        </w:rPr>
        <w:t>i</w:t>
      </w:r>
      <w:r w:rsidR="00651833" w:rsidRPr="00022EA6">
        <w:rPr>
          <w:rFonts w:ascii="Garamond" w:hAnsi="Garamond"/>
        </w:rPr>
        <w:t xml:space="preserve"> hav</w:t>
      </w:r>
      <w:r w:rsidR="008B5876" w:rsidRPr="00022EA6">
        <w:rPr>
          <w:rFonts w:ascii="Garamond" w:hAnsi="Garamond"/>
        </w:rPr>
        <w:t xml:space="preserve">e </w:t>
      </w:r>
    </w:p>
    <w:p w:rsidR="001F7894" w:rsidRPr="00022EA6" w:rsidRDefault="008B5876" w:rsidP="008B5876">
      <w:pPr>
        <w:spacing w:after="0" w:line="240" w:lineRule="auto"/>
        <w:ind w:firstLine="720"/>
        <w:rPr>
          <w:rFonts w:ascii="Garamond" w:hAnsi="Garamond"/>
        </w:rPr>
      </w:pPr>
      <w:r w:rsidRPr="00022EA6">
        <w:rPr>
          <w:rFonts w:ascii="Garamond" w:hAnsi="Garamond"/>
        </w:rPr>
        <w:t xml:space="preserve">     never travelled,gladly beyond</w:t>
      </w:r>
      <w:r w:rsidR="001F7894" w:rsidRPr="00022EA6">
        <w:rPr>
          <w:rFonts w:ascii="Garamond" w:hAnsi="Garamond"/>
        </w:rPr>
        <w:t>”</w:t>
      </w:r>
    </w:p>
    <w:p w:rsidR="008B5876" w:rsidRPr="00022EA6" w:rsidRDefault="001F7894" w:rsidP="008B5876">
      <w:pPr>
        <w:spacing w:after="0" w:line="240" w:lineRule="auto"/>
        <w:ind w:left="720"/>
        <w:rPr>
          <w:rFonts w:ascii="Garamond" w:hAnsi="Garamond"/>
        </w:rPr>
      </w:pPr>
      <w:r w:rsidRPr="00022EA6">
        <w:rPr>
          <w:rFonts w:ascii="Garamond" w:hAnsi="Garamond"/>
        </w:rPr>
        <w:t>Dic</w:t>
      </w:r>
      <w:r w:rsidR="00632906" w:rsidRPr="00022EA6">
        <w:rPr>
          <w:rFonts w:ascii="Garamond" w:hAnsi="Garamond"/>
        </w:rPr>
        <w:t>kenson, 68 (89)</w:t>
      </w:r>
      <w:r w:rsidR="008B5876" w:rsidRPr="00022EA6">
        <w:rPr>
          <w:rFonts w:ascii="Garamond" w:hAnsi="Garamond"/>
        </w:rPr>
        <w:t xml:space="preserve"> “[Some things   </w:t>
      </w:r>
    </w:p>
    <w:p w:rsidR="001F7894" w:rsidRPr="00022EA6" w:rsidRDefault="008B5876" w:rsidP="008B5876">
      <w:pPr>
        <w:spacing w:after="0" w:line="240" w:lineRule="auto"/>
        <w:ind w:left="720"/>
        <w:rPr>
          <w:rFonts w:ascii="Garamond" w:hAnsi="Garamond"/>
        </w:rPr>
      </w:pPr>
      <w:r w:rsidRPr="00022EA6">
        <w:rPr>
          <w:rFonts w:ascii="Garamond" w:hAnsi="Garamond"/>
        </w:rPr>
        <w:t xml:space="preserve">     that fly there be]”</w:t>
      </w:r>
      <w:r w:rsidR="00632906" w:rsidRPr="00022EA6">
        <w:rPr>
          <w:rFonts w:ascii="Garamond" w:hAnsi="Garamond"/>
        </w:rPr>
        <w:t xml:space="preserve"> </w:t>
      </w:r>
    </w:p>
    <w:p w:rsidR="00307AE1" w:rsidRDefault="00307AE1" w:rsidP="00307AE1">
      <w:pPr>
        <w:spacing w:after="0" w:line="240" w:lineRule="auto"/>
        <w:ind w:left="360" w:firstLine="360"/>
        <w:rPr>
          <w:rFonts w:ascii="Garamond" w:hAnsi="Garamond"/>
        </w:rPr>
      </w:pPr>
      <w:r w:rsidRPr="00022EA6">
        <w:rPr>
          <w:rFonts w:ascii="Garamond" w:hAnsi="Garamond"/>
        </w:rPr>
        <w:t>Erdrich, “The Butcher’s Wife”</w:t>
      </w:r>
    </w:p>
    <w:p w:rsidR="007F6BB1" w:rsidRPr="00022EA6" w:rsidRDefault="007F6BB1" w:rsidP="00307AE1">
      <w:pPr>
        <w:spacing w:after="0" w:line="240" w:lineRule="auto"/>
        <w:ind w:left="360" w:firstLine="360"/>
        <w:rPr>
          <w:rFonts w:ascii="Garamond" w:hAnsi="Garamond"/>
        </w:rPr>
      </w:pPr>
      <w:r>
        <w:rPr>
          <w:rFonts w:ascii="Garamond" w:hAnsi="Garamond"/>
        </w:rPr>
        <w:t>Frost, “Birches”</w:t>
      </w:r>
    </w:p>
    <w:p w:rsidR="00BA3262" w:rsidRPr="00022EA6" w:rsidRDefault="00E00558" w:rsidP="00E60E72">
      <w:pPr>
        <w:spacing w:after="0" w:line="240" w:lineRule="auto"/>
        <w:ind w:firstLine="720"/>
        <w:rPr>
          <w:rFonts w:ascii="Garamond" w:hAnsi="Garamond"/>
        </w:rPr>
      </w:pPr>
      <w:r w:rsidRPr="00022EA6">
        <w:rPr>
          <w:rFonts w:ascii="Garamond" w:hAnsi="Garamond"/>
        </w:rPr>
        <w:t>Hayes</w:t>
      </w:r>
      <w:r w:rsidR="00651833" w:rsidRPr="00022EA6">
        <w:rPr>
          <w:rFonts w:ascii="Garamond" w:hAnsi="Garamond"/>
        </w:rPr>
        <w:t xml:space="preserve">, </w:t>
      </w:r>
      <w:r w:rsidR="00BA3262" w:rsidRPr="00022EA6">
        <w:rPr>
          <w:rFonts w:ascii="Garamond" w:hAnsi="Garamond"/>
        </w:rPr>
        <w:t>“</w:t>
      </w:r>
      <w:r w:rsidRPr="00022EA6">
        <w:rPr>
          <w:rFonts w:ascii="Garamond" w:hAnsi="Garamond"/>
        </w:rPr>
        <w:t>The Golden Shovel</w:t>
      </w:r>
      <w:r w:rsidR="00BA3262" w:rsidRPr="00022EA6">
        <w:rPr>
          <w:rFonts w:ascii="Garamond" w:hAnsi="Garamond"/>
        </w:rPr>
        <w:t xml:space="preserve">” </w:t>
      </w:r>
    </w:p>
    <w:p w:rsidR="00BA3262" w:rsidRPr="00022EA6" w:rsidRDefault="00651833" w:rsidP="00E60E72">
      <w:pPr>
        <w:spacing w:after="0" w:line="240" w:lineRule="auto"/>
        <w:ind w:firstLine="720"/>
        <w:rPr>
          <w:rFonts w:ascii="Garamond" w:hAnsi="Garamond"/>
        </w:rPr>
      </w:pPr>
      <w:r w:rsidRPr="00022EA6">
        <w:rPr>
          <w:rFonts w:ascii="Garamond" w:hAnsi="Garamond"/>
        </w:rPr>
        <w:t>Heaney</w:t>
      </w:r>
      <w:r w:rsidR="00632906" w:rsidRPr="00022EA6">
        <w:rPr>
          <w:rFonts w:ascii="Garamond" w:hAnsi="Garamond"/>
        </w:rPr>
        <w:t>, “The Skunk</w:t>
      </w:r>
      <w:r w:rsidR="00BA3262" w:rsidRPr="00022EA6">
        <w:rPr>
          <w:rFonts w:ascii="Garamond" w:hAnsi="Garamond"/>
        </w:rPr>
        <w:t>”</w:t>
      </w:r>
    </w:p>
    <w:p w:rsidR="00307AE1" w:rsidRPr="00022EA6" w:rsidRDefault="00307AE1" w:rsidP="007F6BB1">
      <w:pPr>
        <w:spacing w:after="0" w:line="240" w:lineRule="auto"/>
        <w:ind w:right="-270" w:firstLine="360"/>
        <w:rPr>
          <w:rFonts w:ascii="Garamond" w:hAnsi="Garamond"/>
        </w:rPr>
      </w:pPr>
      <w:r w:rsidRPr="00022EA6">
        <w:rPr>
          <w:rFonts w:ascii="Garamond" w:hAnsi="Garamond"/>
        </w:rPr>
        <w:t>Marvell, “To His Coy Mistress”</w:t>
      </w:r>
    </w:p>
    <w:p w:rsidR="001F7894" w:rsidRPr="00022EA6" w:rsidRDefault="00307AE1" w:rsidP="001F7894">
      <w:pPr>
        <w:spacing w:after="0" w:line="240" w:lineRule="auto"/>
        <w:ind w:left="360"/>
        <w:rPr>
          <w:rFonts w:ascii="Garamond" w:hAnsi="Garamond"/>
        </w:rPr>
      </w:pPr>
      <w:r w:rsidRPr="00022EA6">
        <w:rPr>
          <w:rFonts w:ascii="Garamond" w:hAnsi="Garamond"/>
        </w:rPr>
        <w:t xml:space="preserve">Milton, “On Shakespeare” </w:t>
      </w:r>
    </w:p>
    <w:p w:rsidR="008B5876" w:rsidRPr="00022EA6" w:rsidRDefault="008B5876" w:rsidP="001F7894">
      <w:pPr>
        <w:spacing w:after="0" w:line="240" w:lineRule="auto"/>
        <w:ind w:left="360"/>
        <w:rPr>
          <w:rFonts w:ascii="Garamond" w:hAnsi="Garamond"/>
        </w:rPr>
      </w:pPr>
      <w:r w:rsidRPr="00022EA6">
        <w:rPr>
          <w:rFonts w:ascii="Garamond" w:hAnsi="Garamond"/>
        </w:rPr>
        <w:t xml:space="preserve">Koch, “Variations on a Theme by </w:t>
      </w:r>
    </w:p>
    <w:p w:rsidR="008B5876" w:rsidRPr="00022EA6" w:rsidRDefault="008B5876" w:rsidP="001F7894">
      <w:pPr>
        <w:spacing w:after="0" w:line="240" w:lineRule="auto"/>
        <w:ind w:left="360"/>
        <w:rPr>
          <w:rFonts w:ascii="Garamond" w:hAnsi="Garamond"/>
        </w:rPr>
      </w:pPr>
      <w:r w:rsidRPr="00022EA6">
        <w:rPr>
          <w:rFonts w:ascii="Garamond" w:hAnsi="Garamond"/>
        </w:rPr>
        <w:t xml:space="preserve">     William Carlos Williams”</w:t>
      </w:r>
    </w:p>
    <w:p w:rsidR="001F7894" w:rsidRPr="00022EA6" w:rsidRDefault="001F7894" w:rsidP="001F7894">
      <w:pPr>
        <w:spacing w:after="0" w:line="240" w:lineRule="auto"/>
        <w:ind w:left="360"/>
        <w:rPr>
          <w:rFonts w:ascii="Garamond" w:hAnsi="Garamond"/>
        </w:rPr>
      </w:pPr>
      <w:r w:rsidRPr="00022EA6">
        <w:rPr>
          <w:rFonts w:ascii="Garamond" w:hAnsi="Garamond"/>
        </w:rPr>
        <w:t>Plath, “Morning Song”</w:t>
      </w:r>
    </w:p>
    <w:p w:rsidR="001F7894" w:rsidRPr="00022EA6" w:rsidRDefault="00F064FB" w:rsidP="001F7894">
      <w:pPr>
        <w:spacing w:after="0" w:line="240" w:lineRule="auto"/>
        <w:ind w:firstLine="360"/>
        <w:rPr>
          <w:rFonts w:ascii="Garamond" w:hAnsi="Garamond"/>
        </w:rPr>
      </w:pPr>
      <w:r w:rsidRPr="00022EA6">
        <w:rPr>
          <w:rFonts w:ascii="Garamond" w:hAnsi="Garamond"/>
        </w:rPr>
        <w:t>Roethke, “The Waking</w:t>
      </w:r>
      <w:r w:rsidR="001F7894" w:rsidRPr="00022EA6">
        <w:rPr>
          <w:rFonts w:ascii="Garamond" w:hAnsi="Garamond"/>
        </w:rPr>
        <w:t>”</w:t>
      </w:r>
    </w:p>
    <w:p w:rsidR="001F7894" w:rsidRPr="00022EA6" w:rsidRDefault="001F7894" w:rsidP="001F7894">
      <w:pPr>
        <w:spacing w:after="0" w:line="240" w:lineRule="auto"/>
        <w:ind w:left="360"/>
        <w:rPr>
          <w:rFonts w:ascii="Garamond" w:hAnsi="Garamond"/>
        </w:rPr>
      </w:pPr>
      <w:r w:rsidRPr="00022EA6">
        <w:rPr>
          <w:rFonts w:ascii="Garamond" w:hAnsi="Garamond"/>
        </w:rPr>
        <w:t xml:space="preserve">Shakespeare, </w:t>
      </w:r>
      <w:r w:rsidR="00632906" w:rsidRPr="00022EA6">
        <w:rPr>
          <w:rFonts w:ascii="Garamond" w:hAnsi="Garamond"/>
        </w:rPr>
        <w:t>Sonnet 60</w:t>
      </w:r>
    </w:p>
    <w:p w:rsidR="008B5876" w:rsidRPr="00022EA6" w:rsidRDefault="00F2072D" w:rsidP="001F7894">
      <w:pPr>
        <w:spacing w:after="0" w:line="240" w:lineRule="auto"/>
        <w:ind w:firstLine="360"/>
        <w:rPr>
          <w:rFonts w:ascii="Garamond" w:hAnsi="Garamond"/>
        </w:rPr>
      </w:pPr>
      <w:r w:rsidRPr="00022EA6">
        <w:rPr>
          <w:rFonts w:ascii="Garamond" w:hAnsi="Garamond"/>
        </w:rPr>
        <w:t>Stevens, “Thirteen Ways of Lookin</w:t>
      </w:r>
      <w:r w:rsidR="00FD3C6D" w:rsidRPr="00022EA6">
        <w:rPr>
          <w:rFonts w:ascii="Garamond" w:hAnsi="Garamond"/>
        </w:rPr>
        <w:t>g</w:t>
      </w:r>
      <w:r w:rsidR="008B5876" w:rsidRPr="00022EA6">
        <w:rPr>
          <w:rFonts w:ascii="Garamond" w:hAnsi="Garamond"/>
        </w:rPr>
        <w:t xml:space="preserve"> at a </w:t>
      </w:r>
    </w:p>
    <w:p w:rsidR="00BA3262" w:rsidRPr="00022EA6" w:rsidRDefault="008B5876" w:rsidP="008B5876">
      <w:pPr>
        <w:spacing w:after="0" w:line="240" w:lineRule="auto"/>
        <w:ind w:firstLine="360"/>
        <w:rPr>
          <w:rFonts w:ascii="Garamond" w:hAnsi="Garamond"/>
        </w:rPr>
      </w:pPr>
      <w:r w:rsidRPr="00022EA6">
        <w:rPr>
          <w:rFonts w:ascii="Garamond" w:hAnsi="Garamond"/>
        </w:rPr>
        <w:t xml:space="preserve">     Blackbird</w:t>
      </w:r>
      <w:r w:rsidR="00BA3262" w:rsidRPr="00022EA6">
        <w:rPr>
          <w:rFonts w:ascii="Garamond" w:hAnsi="Garamond"/>
        </w:rPr>
        <w:t>”</w:t>
      </w:r>
    </w:p>
    <w:p w:rsidR="00E60E72" w:rsidRPr="00022EA6" w:rsidRDefault="00307AE1" w:rsidP="001F7894">
      <w:pPr>
        <w:spacing w:after="0" w:line="240" w:lineRule="auto"/>
        <w:ind w:firstLine="360"/>
        <w:rPr>
          <w:rFonts w:ascii="Garamond" w:hAnsi="Garamond"/>
        </w:rPr>
        <w:sectPr w:rsidR="00E60E72" w:rsidRPr="00022EA6" w:rsidSect="00E60E72">
          <w:type w:val="continuous"/>
          <w:pgSz w:w="12240" w:h="15840"/>
          <w:pgMar w:top="1440" w:right="1440" w:bottom="1440" w:left="1440" w:header="720" w:footer="720" w:gutter="0"/>
          <w:cols w:num="2" w:space="720"/>
          <w:docGrid w:linePitch="360"/>
        </w:sectPr>
      </w:pPr>
      <w:r w:rsidRPr="00022EA6">
        <w:rPr>
          <w:rFonts w:ascii="Garamond" w:hAnsi="Garamond"/>
        </w:rPr>
        <w:t xml:space="preserve">Stallings, “Persephone to Psyche” </w:t>
      </w:r>
    </w:p>
    <w:p w:rsidR="00A068CE" w:rsidRPr="00022EA6" w:rsidRDefault="00F914C3" w:rsidP="00555347">
      <w:pPr>
        <w:spacing w:before="240" w:after="0" w:line="240" w:lineRule="auto"/>
        <w:rPr>
          <w:rFonts w:ascii="Garamond" w:hAnsi="Garamond"/>
        </w:rPr>
      </w:pPr>
      <w:r w:rsidRPr="00022EA6">
        <w:rPr>
          <w:rFonts w:ascii="Garamond" w:hAnsi="Garamond"/>
        </w:rPr>
        <w:t xml:space="preserve">Two critical points about your analysis: 1) biographical/historical information is not disallowed, but the best essays will not rely on it to make your argument unless there are significant poetic elements that you will draw upon as supporting evidence, and 2) </w:t>
      </w:r>
      <w:r w:rsidR="007F6BB1">
        <w:rPr>
          <w:rFonts w:ascii="Garamond" w:hAnsi="Garamond"/>
        </w:rPr>
        <w:t xml:space="preserve">on the essay portion (part 2), </w:t>
      </w:r>
      <w:r w:rsidRPr="00022EA6">
        <w:rPr>
          <w:rFonts w:ascii="Garamond" w:hAnsi="Garamond"/>
        </w:rPr>
        <w:t xml:space="preserve">do not list formal elements of poetry in the poem unless they provide a deeper understanding of the poem.  If there is another poem from the anthology that you are adamant about using for your close reading, please consult me and we’ll chat.  </w:t>
      </w:r>
    </w:p>
    <w:p w:rsidR="00EB4E70" w:rsidRPr="00022EA6" w:rsidRDefault="00A068CE" w:rsidP="00FD3C6D">
      <w:pPr>
        <w:spacing w:before="240" w:after="120" w:line="240" w:lineRule="auto"/>
        <w:rPr>
          <w:rFonts w:ascii="Garamond" w:hAnsi="Garamond"/>
        </w:rPr>
      </w:pPr>
      <w:r w:rsidRPr="00022EA6">
        <w:rPr>
          <w:rFonts w:ascii="Garamond" w:hAnsi="Garamond"/>
          <w:b/>
        </w:rPr>
        <w:t>Don’t forget to include a signed cover sheet and a Works Cited page.</w:t>
      </w:r>
      <w:r w:rsidR="001F7894" w:rsidRPr="00022EA6">
        <w:rPr>
          <w:rFonts w:ascii="Garamond" w:hAnsi="Garamond"/>
          <w:b/>
        </w:rPr>
        <w:t xml:space="preserve">  Avoid Spark/</w:t>
      </w:r>
      <w:r w:rsidR="003B4D84" w:rsidRPr="00022EA6">
        <w:rPr>
          <w:rFonts w:ascii="Garamond" w:hAnsi="Garamond"/>
          <w:b/>
        </w:rPr>
        <w:t>Cliff Notes</w:t>
      </w:r>
      <w:r w:rsidR="00FD3C6D" w:rsidRPr="00022EA6">
        <w:rPr>
          <w:rFonts w:ascii="Garamond" w:hAnsi="Garamond"/>
          <w:b/>
        </w:rPr>
        <w:t>/Shmoop</w:t>
      </w:r>
      <w:r w:rsidR="003B4D84" w:rsidRPr="00022EA6">
        <w:rPr>
          <w:rFonts w:ascii="Garamond" w:hAnsi="Garamond"/>
          <w:b/>
        </w:rPr>
        <w:t xml:space="preserve"> or other variants of </w:t>
      </w:r>
      <w:r w:rsidR="001F7894" w:rsidRPr="00022EA6">
        <w:rPr>
          <w:rFonts w:ascii="Garamond" w:hAnsi="Garamond"/>
          <w:b/>
        </w:rPr>
        <w:t xml:space="preserve">these </w:t>
      </w:r>
      <w:r w:rsidR="003B4D84" w:rsidRPr="00022EA6">
        <w:rPr>
          <w:rFonts w:ascii="Garamond" w:hAnsi="Garamond"/>
          <w:b/>
        </w:rPr>
        <w:t>soul-sucking creativity crutches.</w:t>
      </w:r>
    </w:p>
    <w:p w:rsidR="00EB4E70" w:rsidRPr="00022EA6" w:rsidRDefault="00EB4E70" w:rsidP="00FD3C6D">
      <w:pPr>
        <w:pStyle w:val="NormalWeb"/>
        <w:spacing w:before="120" w:beforeAutospacing="0" w:after="0"/>
        <w:rPr>
          <w:rFonts w:ascii="Garamond" w:hAnsi="Garamond"/>
          <w:color w:val="000000"/>
          <w:sz w:val="22"/>
          <w:szCs w:val="22"/>
        </w:rPr>
      </w:pPr>
      <w:r w:rsidRPr="00022EA6">
        <w:rPr>
          <w:rFonts w:ascii="Garamond" w:hAnsi="Garamond"/>
          <w:b/>
          <w:bCs/>
          <w:color w:val="000000"/>
          <w:sz w:val="22"/>
          <w:szCs w:val="22"/>
        </w:rPr>
        <w:t>Due Date</w:t>
      </w:r>
      <w:r w:rsidR="00E16138" w:rsidRPr="00022EA6">
        <w:rPr>
          <w:rFonts w:ascii="Garamond" w:hAnsi="Garamond"/>
          <w:color w:val="000000"/>
          <w:sz w:val="22"/>
          <w:szCs w:val="22"/>
        </w:rPr>
        <w:t xml:space="preserve">: Lesson </w:t>
      </w:r>
      <w:r w:rsidR="00307AE1" w:rsidRPr="00022EA6">
        <w:rPr>
          <w:rFonts w:ascii="Garamond" w:hAnsi="Garamond"/>
          <w:color w:val="000000"/>
          <w:sz w:val="22"/>
          <w:szCs w:val="22"/>
        </w:rPr>
        <w:t>9</w:t>
      </w:r>
      <w:r w:rsidR="00E16138" w:rsidRPr="00022EA6">
        <w:rPr>
          <w:rFonts w:ascii="Garamond" w:hAnsi="Garamond"/>
          <w:color w:val="000000"/>
          <w:sz w:val="22"/>
          <w:szCs w:val="22"/>
        </w:rPr>
        <w:t xml:space="preserve">, </w:t>
      </w:r>
      <w:r w:rsidR="00307AE1" w:rsidRPr="00022EA6">
        <w:rPr>
          <w:rFonts w:ascii="Garamond" w:hAnsi="Garamond"/>
          <w:color w:val="000000"/>
          <w:sz w:val="22"/>
          <w:szCs w:val="22"/>
        </w:rPr>
        <w:t>5</w:t>
      </w:r>
      <w:r w:rsidR="00E16138" w:rsidRPr="00022EA6">
        <w:rPr>
          <w:rFonts w:ascii="Garamond" w:hAnsi="Garamond"/>
          <w:color w:val="000000"/>
          <w:sz w:val="22"/>
          <w:szCs w:val="22"/>
        </w:rPr>
        <w:t>/</w:t>
      </w:r>
      <w:r w:rsidR="00307AE1" w:rsidRPr="00022EA6">
        <w:rPr>
          <w:rFonts w:ascii="Garamond" w:hAnsi="Garamond"/>
          <w:color w:val="000000"/>
          <w:sz w:val="22"/>
          <w:szCs w:val="22"/>
        </w:rPr>
        <w:t xml:space="preserve">6 </w:t>
      </w:r>
      <w:r w:rsidRPr="00022EA6">
        <w:rPr>
          <w:rFonts w:ascii="Garamond" w:hAnsi="Garamond"/>
          <w:color w:val="000000"/>
          <w:sz w:val="22"/>
          <w:szCs w:val="22"/>
        </w:rPr>
        <w:t>Feb</w:t>
      </w:r>
    </w:p>
    <w:p w:rsidR="00F062A5" w:rsidRPr="00646A93" w:rsidRDefault="00EB4E70" w:rsidP="00B44615">
      <w:pPr>
        <w:pStyle w:val="NormalWeb"/>
        <w:spacing w:before="120" w:beforeAutospacing="0" w:after="0"/>
        <w:rPr>
          <w:rFonts w:ascii="Garamond" w:hAnsi="Garamond"/>
          <w:i/>
          <w:sz w:val="16"/>
          <w:szCs w:val="16"/>
        </w:rPr>
      </w:pPr>
      <w:r w:rsidRPr="00022EA6">
        <w:rPr>
          <w:rFonts w:ascii="Garamond" w:hAnsi="Garamond"/>
          <w:b/>
          <w:bCs/>
          <w:color w:val="000000"/>
          <w:sz w:val="22"/>
          <w:szCs w:val="22"/>
        </w:rPr>
        <w:t>Value</w:t>
      </w:r>
      <w:r w:rsidR="00E16138" w:rsidRPr="00022EA6">
        <w:rPr>
          <w:rFonts w:ascii="Garamond" w:hAnsi="Garamond"/>
          <w:color w:val="000000"/>
          <w:sz w:val="22"/>
          <w:szCs w:val="22"/>
        </w:rPr>
        <w:t>: 150</w:t>
      </w:r>
      <w:r w:rsidRPr="00022EA6">
        <w:rPr>
          <w:rFonts w:ascii="Garamond" w:hAnsi="Garamond"/>
          <w:color w:val="000000"/>
          <w:sz w:val="22"/>
          <w:szCs w:val="22"/>
        </w:rPr>
        <w:t xml:space="preserve"> points</w:t>
      </w:r>
      <w:r w:rsidR="00646A93">
        <w:rPr>
          <w:rFonts w:ascii="Garamond" w:hAnsi="Garamond"/>
          <w:color w:val="000000"/>
          <w:sz w:val="22"/>
          <w:szCs w:val="22"/>
        </w:rPr>
        <w:tab/>
      </w:r>
      <w:r w:rsidR="00646A93">
        <w:rPr>
          <w:rFonts w:ascii="Garamond" w:hAnsi="Garamond"/>
          <w:color w:val="000000"/>
          <w:sz w:val="22"/>
          <w:szCs w:val="22"/>
        </w:rPr>
        <w:tab/>
      </w:r>
      <w:r w:rsidR="00646A93">
        <w:rPr>
          <w:rFonts w:ascii="Garamond" w:hAnsi="Garamond"/>
          <w:color w:val="000000"/>
          <w:sz w:val="22"/>
          <w:szCs w:val="22"/>
        </w:rPr>
        <w:tab/>
      </w:r>
      <w:r w:rsidR="00646A93">
        <w:rPr>
          <w:rFonts w:ascii="Garamond" w:hAnsi="Garamond"/>
          <w:color w:val="000000"/>
          <w:sz w:val="22"/>
          <w:szCs w:val="22"/>
        </w:rPr>
        <w:tab/>
      </w:r>
      <w:r w:rsidR="00646A93">
        <w:rPr>
          <w:rFonts w:ascii="Garamond" w:hAnsi="Garamond"/>
          <w:color w:val="000000"/>
          <w:sz w:val="22"/>
          <w:szCs w:val="22"/>
        </w:rPr>
        <w:tab/>
      </w:r>
      <w:r w:rsidR="00646A93">
        <w:rPr>
          <w:rFonts w:ascii="Garamond" w:hAnsi="Garamond"/>
          <w:color w:val="000000"/>
          <w:sz w:val="22"/>
          <w:szCs w:val="22"/>
        </w:rPr>
        <w:tab/>
      </w:r>
      <w:r w:rsidR="00646A93">
        <w:rPr>
          <w:rFonts w:ascii="Garamond" w:hAnsi="Garamond"/>
          <w:color w:val="000000"/>
          <w:sz w:val="22"/>
          <w:szCs w:val="22"/>
        </w:rPr>
        <w:tab/>
      </w:r>
      <w:r w:rsidR="00646A93">
        <w:rPr>
          <w:rFonts w:ascii="Garamond" w:hAnsi="Garamond"/>
          <w:color w:val="000000"/>
          <w:sz w:val="22"/>
          <w:szCs w:val="22"/>
        </w:rPr>
        <w:tab/>
      </w:r>
      <w:r w:rsidR="00646A93">
        <w:rPr>
          <w:rFonts w:ascii="Garamond" w:hAnsi="Garamond"/>
          <w:color w:val="000000"/>
          <w:sz w:val="22"/>
          <w:szCs w:val="22"/>
        </w:rPr>
        <w:tab/>
      </w:r>
      <w:r w:rsidR="00646A93">
        <w:rPr>
          <w:rFonts w:ascii="Garamond" w:hAnsi="Garamond"/>
          <w:color w:val="000000"/>
          <w:sz w:val="22"/>
          <w:szCs w:val="22"/>
        </w:rPr>
        <w:tab/>
      </w:r>
      <w:r w:rsidR="00646A93" w:rsidRPr="00646A93">
        <w:rPr>
          <w:rFonts w:ascii="Garamond" w:hAnsi="Garamond"/>
          <w:i/>
          <w:color w:val="000000"/>
          <w:sz w:val="16"/>
          <w:szCs w:val="16"/>
        </w:rPr>
        <w:t>*</w:t>
      </w:r>
      <w:r w:rsidR="00646A93">
        <w:rPr>
          <w:rFonts w:ascii="Garamond" w:hAnsi="Garamond"/>
          <w:i/>
          <w:color w:val="000000"/>
          <w:sz w:val="16"/>
          <w:szCs w:val="16"/>
        </w:rPr>
        <w:t xml:space="preserve"> </w:t>
      </w:r>
      <w:r w:rsidR="00646A93" w:rsidRPr="00646A93">
        <w:rPr>
          <w:rFonts w:ascii="Garamond" w:hAnsi="Garamond"/>
          <w:i/>
          <w:color w:val="000000"/>
          <w:sz w:val="16"/>
          <w:szCs w:val="16"/>
        </w:rPr>
        <w:t>it isn’t</w:t>
      </w:r>
      <w:r w:rsidR="00646A93">
        <w:rPr>
          <w:rFonts w:ascii="Garamond" w:hAnsi="Garamond"/>
          <w:i/>
          <w:color w:val="000000"/>
          <w:sz w:val="16"/>
          <w:szCs w:val="16"/>
        </w:rPr>
        <w:t>.</w:t>
      </w:r>
    </w:p>
    <w:sectPr w:rsidR="00F062A5" w:rsidRPr="00646A93" w:rsidSect="00E60E72">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A90"/>
    <w:rsid w:val="00022EA6"/>
    <w:rsid w:val="001F7894"/>
    <w:rsid w:val="00213CD1"/>
    <w:rsid w:val="002F7F5A"/>
    <w:rsid w:val="00302B7B"/>
    <w:rsid w:val="00307AE1"/>
    <w:rsid w:val="00321CFF"/>
    <w:rsid w:val="003864A5"/>
    <w:rsid w:val="003B4D84"/>
    <w:rsid w:val="004666C5"/>
    <w:rsid w:val="004B54C9"/>
    <w:rsid w:val="00555347"/>
    <w:rsid w:val="00632906"/>
    <w:rsid w:val="00646A93"/>
    <w:rsid w:val="006502A6"/>
    <w:rsid w:val="00651833"/>
    <w:rsid w:val="006A122D"/>
    <w:rsid w:val="007067B7"/>
    <w:rsid w:val="00715348"/>
    <w:rsid w:val="0073016B"/>
    <w:rsid w:val="007F6BB1"/>
    <w:rsid w:val="008437CF"/>
    <w:rsid w:val="00860977"/>
    <w:rsid w:val="008832AA"/>
    <w:rsid w:val="008B5876"/>
    <w:rsid w:val="00927E19"/>
    <w:rsid w:val="00A024BF"/>
    <w:rsid w:val="00A068CE"/>
    <w:rsid w:val="00AC5B63"/>
    <w:rsid w:val="00B44615"/>
    <w:rsid w:val="00BA3262"/>
    <w:rsid w:val="00BA6D7D"/>
    <w:rsid w:val="00C0405B"/>
    <w:rsid w:val="00C32EA2"/>
    <w:rsid w:val="00C43ADA"/>
    <w:rsid w:val="00D6614B"/>
    <w:rsid w:val="00E00558"/>
    <w:rsid w:val="00E01A90"/>
    <w:rsid w:val="00E16138"/>
    <w:rsid w:val="00E40F80"/>
    <w:rsid w:val="00E60E72"/>
    <w:rsid w:val="00EA332E"/>
    <w:rsid w:val="00EA710B"/>
    <w:rsid w:val="00EB4E70"/>
    <w:rsid w:val="00F062A5"/>
    <w:rsid w:val="00F064FB"/>
    <w:rsid w:val="00F2072D"/>
    <w:rsid w:val="00F467F1"/>
    <w:rsid w:val="00F579EC"/>
    <w:rsid w:val="00F914C3"/>
    <w:rsid w:val="00FD3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BBB16"/>
  <w15:docId w15:val="{CAC7D12D-D391-4A3A-AD6C-7DCBA7F53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1A9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B4E70"/>
    <w:pPr>
      <w:spacing w:before="100" w:beforeAutospacing="1" w:after="360"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722284">
      <w:bodyDiv w:val="1"/>
      <w:marLeft w:val="0"/>
      <w:marRight w:val="0"/>
      <w:marTop w:val="0"/>
      <w:marBottom w:val="0"/>
      <w:divBdr>
        <w:top w:val="single" w:sz="36" w:space="0" w:color="265E15"/>
        <w:left w:val="none" w:sz="0" w:space="0" w:color="auto"/>
        <w:bottom w:val="none" w:sz="0" w:space="0" w:color="auto"/>
        <w:right w:val="none" w:sz="0" w:space="0" w:color="auto"/>
      </w:divBdr>
      <w:divsChild>
        <w:div w:id="132187377">
          <w:marLeft w:val="0"/>
          <w:marRight w:val="0"/>
          <w:marTop w:val="0"/>
          <w:marBottom w:val="0"/>
          <w:divBdr>
            <w:top w:val="none" w:sz="0" w:space="0" w:color="auto"/>
            <w:left w:val="none" w:sz="0" w:space="0" w:color="auto"/>
            <w:bottom w:val="none" w:sz="0" w:space="0" w:color="auto"/>
            <w:right w:val="none" w:sz="0" w:space="0" w:color="auto"/>
          </w:divBdr>
          <w:divsChild>
            <w:div w:id="2032297798">
              <w:marLeft w:val="0"/>
              <w:marRight w:val="0"/>
              <w:marTop w:val="0"/>
              <w:marBottom w:val="0"/>
              <w:divBdr>
                <w:top w:val="none" w:sz="0" w:space="0" w:color="auto"/>
                <w:left w:val="none" w:sz="0" w:space="0" w:color="auto"/>
                <w:bottom w:val="none" w:sz="0" w:space="0" w:color="auto"/>
                <w:right w:val="none" w:sz="0" w:space="0" w:color="auto"/>
              </w:divBdr>
              <w:divsChild>
                <w:div w:id="1523323531">
                  <w:marLeft w:val="0"/>
                  <w:marRight w:val="0"/>
                  <w:marTop w:val="0"/>
                  <w:marBottom w:val="0"/>
                  <w:divBdr>
                    <w:top w:val="none" w:sz="0" w:space="0" w:color="auto"/>
                    <w:left w:val="none" w:sz="0" w:space="0" w:color="auto"/>
                    <w:bottom w:val="none" w:sz="0" w:space="0" w:color="auto"/>
                    <w:right w:val="none" w:sz="0" w:space="0" w:color="auto"/>
                  </w:divBdr>
                  <w:divsChild>
                    <w:div w:id="1208251029">
                      <w:marLeft w:val="0"/>
                      <w:marRight w:val="0"/>
                      <w:marTop w:val="0"/>
                      <w:marBottom w:val="0"/>
                      <w:divBdr>
                        <w:top w:val="none" w:sz="0" w:space="0" w:color="auto"/>
                        <w:left w:val="none" w:sz="0" w:space="0" w:color="auto"/>
                        <w:bottom w:val="none" w:sz="0" w:space="0" w:color="auto"/>
                        <w:right w:val="none" w:sz="0" w:space="0" w:color="auto"/>
                      </w:divBdr>
                      <w:divsChild>
                        <w:div w:id="123917324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61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563</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U.S. Army</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Charles.Markley</dc:creator>
  <cp:lastModifiedBy>Markley, Charles L MAJ MIL USA USMA</cp:lastModifiedBy>
  <cp:revision>2</cp:revision>
  <dcterms:created xsi:type="dcterms:W3CDTF">2020-01-27T03:53:00Z</dcterms:created>
  <dcterms:modified xsi:type="dcterms:W3CDTF">2020-01-27T03:53:00Z</dcterms:modified>
</cp:coreProperties>
</file>